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C300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3C3005" w:rsidRDefault="003C3005" w:rsidP="003C3005">
      <w:pPr>
        <w:rPr>
          <w:rFonts w:ascii="Verdana" w:eastAsia="Times New Roman" w:hAnsi="Verdana"/>
          <w:sz w:val="18"/>
          <w:szCs w:val="18"/>
        </w:rPr>
      </w:pPr>
      <w:r>
        <w:rPr>
          <w:rFonts w:ascii="Verdana" w:eastAsia="Times New Roman" w:hAnsi="Verdana"/>
          <w:b/>
          <w:bCs/>
          <w:sz w:val="18"/>
          <w:szCs w:val="18"/>
        </w:rPr>
        <w:t>Motiverende gespreksvoering voor gedragswetenschappers</w:t>
      </w:r>
      <w:r>
        <w:rPr>
          <w:rFonts w:ascii="Verdana" w:eastAsia="Times New Roman" w:hAnsi="Verdana"/>
          <w:sz w:val="18"/>
          <w:szCs w:val="18"/>
        </w:rPr>
        <w:br/>
      </w:r>
      <w:r>
        <w:rPr>
          <w:rFonts w:ascii="Verdana" w:eastAsia="Times New Roman" w:hAnsi="Verdana"/>
          <w:b/>
          <w:bCs/>
          <w:i/>
          <w:iCs/>
          <w:sz w:val="18"/>
          <w:szCs w:val="18"/>
        </w:rPr>
        <w:t>Bij adolescenten en (jong)volwassenen</w:t>
      </w:r>
      <w:r>
        <w:rPr>
          <w:rFonts w:ascii="Verdana" w:eastAsia="Times New Roman" w:hAnsi="Verdana"/>
          <w:sz w:val="18"/>
          <w:szCs w:val="18"/>
        </w:rPr>
        <w:br/>
      </w:r>
      <w:r>
        <w:rPr>
          <w:rFonts w:ascii="Verdana" w:hAnsi="Verdana"/>
          <w:sz w:val="18"/>
          <w:szCs w:val="18"/>
        </w:rPr>
        <w:br/>
      </w:r>
      <w:r>
        <w:rPr>
          <w:rFonts w:ascii="Verdana" w:hAnsi="Verdana"/>
          <w:sz w:val="18"/>
          <w:szCs w:val="18"/>
        </w:rPr>
        <w:t>Merk je dat je cliënten wel naar jouw adviezen luisteren, instemmen om daarmee aan de gang te gaan, maar uit</w:t>
      </w:r>
      <w:r>
        <w:rPr>
          <w:rFonts w:ascii="Verdana" w:hAnsi="Verdana"/>
          <w:sz w:val="18"/>
          <w:szCs w:val="18"/>
        </w:rPr>
        <w:t>eindelijk toch niet doen wat je hen adviseert? Vaak zeggen ze dat ze wel willen, maar uiteindelijk gebeurt er niets. Je blijft dan zitten met de vraag hóe je de cliënt in beweging krijgt, zodat het gedrag daadwerkelijk verandert.</w:t>
      </w:r>
      <w:r>
        <w:rPr>
          <w:rFonts w:ascii="Verdana" w:hAnsi="Verdana"/>
          <w:sz w:val="18"/>
          <w:szCs w:val="18"/>
        </w:rPr>
        <w:br/>
        <w:t>De motivatie om te verande</w:t>
      </w:r>
      <w:r>
        <w:rPr>
          <w:rFonts w:ascii="Verdana" w:hAnsi="Verdana"/>
          <w:sz w:val="18"/>
          <w:szCs w:val="18"/>
        </w:rPr>
        <w:t>ren is een goede voorspeller van de feitelijke verandering. Het is dan ook van belang dat je aandacht besteedt aan de intrinsieke motivatie voor verandering bij de cliënt en dat deze vergroot wordt. Motiverende gespreksvoering is een doelgerichte gespreksm</w:t>
      </w:r>
      <w:r>
        <w:rPr>
          <w:rFonts w:ascii="Verdana" w:hAnsi="Verdana"/>
          <w:sz w:val="18"/>
          <w:szCs w:val="18"/>
        </w:rPr>
        <w:t>ethode waarbij de persoonlijke motivatie van de cliënt voor gedragsverandering wordt versterkt door het opsporen en verminderen van ambivalentie. Uit onderzoek blijkt dat motiverende gespreksvoering bewezen effectief is bij verschillende doelgroepen.</w:t>
      </w:r>
    </w:p>
    <w:p w:rsidR="00000000" w:rsidRDefault="003C3005" w:rsidP="003C300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Bij</w:t>
      </w:r>
      <w:r>
        <w:rPr>
          <w:rFonts w:ascii="Verdana" w:eastAsia="Times New Roman" w:hAnsi="Verdana"/>
          <w:sz w:val="18"/>
          <w:szCs w:val="18"/>
        </w:rPr>
        <w:t xml:space="preserve">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w:t>
      </w:r>
      <w:r>
        <w:rPr>
          <w:rFonts w:ascii="Verdana" w:eastAsia="Times New Roman" w:hAnsi="Verdana"/>
          <w:sz w:val="18"/>
          <w:szCs w:val="18"/>
        </w:rPr>
        <w:t>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Deze cursus bied je de mogelijkheid om intrinsieke motivatie tot verandering te onderzoeken en te vergroten. Je leert de gespreksvaardigheden en onderliggende technieken. Ook leer je weerstand te herkennen e</w:t>
      </w:r>
      <w:r>
        <w:rPr>
          <w:rFonts w:ascii="Verdana" w:eastAsia="Times New Roman" w:hAnsi="Verdana"/>
          <w:sz w:val="18"/>
          <w:szCs w:val="18"/>
        </w:rPr>
        <w:t>n hanteren.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NVO Orthopedagoog-generalist, Basispsycholoog, Orthopedagoog en Systeemtherapeut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Onderwerpen die aan bod komen:</w:t>
      </w:r>
    </w:p>
    <w:p w:rsidR="00000000" w:rsidRDefault="003C3005" w:rsidP="003C3005">
      <w:pPr>
        <w:numPr>
          <w:ilvl w:val="0"/>
          <w:numId w:val="1"/>
        </w:numPr>
        <w:rPr>
          <w:rFonts w:ascii="Verdana" w:eastAsia="Times New Roman" w:hAnsi="Verdana"/>
          <w:sz w:val="18"/>
          <w:szCs w:val="18"/>
        </w:rPr>
      </w:pPr>
      <w:r>
        <w:rPr>
          <w:rFonts w:ascii="Verdana" w:eastAsia="Times New Roman" w:hAnsi="Verdana"/>
          <w:sz w:val="18"/>
          <w:szCs w:val="18"/>
        </w:rPr>
        <w:t>basisgespreksv</w:t>
      </w:r>
      <w:r>
        <w:rPr>
          <w:rFonts w:ascii="Verdana" w:eastAsia="Times New Roman" w:hAnsi="Verdana"/>
          <w:sz w:val="18"/>
          <w:szCs w:val="18"/>
        </w:rPr>
        <w:t>aardighede</w:t>
      </w:r>
      <w:r>
        <w:rPr>
          <w:rFonts w:ascii="Verdana" w:eastAsia="Times New Roman" w:hAnsi="Verdana"/>
          <w:sz w:val="18"/>
          <w:szCs w:val="18"/>
        </w:rPr>
        <w:t>n</w:t>
      </w:r>
    </w:p>
    <w:p w:rsidR="00000000" w:rsidRDefault="003C3005" w:rsidP="003C3005">
      <w:pPr>
        <w:numPr>
          <w:ilvl w:val="0"/>
          <w:numId w:val="1"/>
        </w:numPr>
        <w:rPr>
          <w:rFonts w:ascii="Verdana" w:eastAsia="Times New Roman" w:hAnsi="Verdana"/>
          <w:sz w:val="18"/>
          <w:szCs w:val="18"/>
        </w:rPr>
      </w:pPr>
      <w:r>
        <w:rPr>
          <w:rFonts w:ascii="Verdana" w:eastAsia="Times New Roman" w:hAnsi="Verdana"/>
          <w:sz w:val="18"/>
          <w:szCs w:val="18"/>
        </w:rPr>
        <w:t>basisprincipes van motiverende gespreksvoering</w:t>
      </w:r>
    </w:p>
    <w:p w:rsidR="00000000" w:rsidRDefault="003C3005" w:rsidP="003C3005">
      <w:pPr>
        <w:numPr>
          <w:ilvl w:val="0"/>
          <w:numId w:val="1"/>
        </w:numPr>
        <w:rPr>
          <w:rFonts w:ascii="Verdana" w:eastAsia="Times New Roman" w:hAnsi="Verdana"/>
          <w:sz w:val="18"/>
          <w:szCs w:val="18"/>
        </w:rPr>
      </w:pPr>
      <w:r>
        <w:rPr>
          <w:rFonts w:ascii="Verdana" w:eastAsia="Times New Roman" w:hAnsi="Verdana"/>
          <w:sz w:val="18"/>
          <w:szCs w:val="18"/>
        </w:rPr>
        <w:t>het begrip ambivalentie en hoe je hiermee kunt werken</w:t>
      </w:r>
    </w:p>
    <w:p w:rsidR="00000000" w:rsidRDefault="003C3005" w:rsidP="003C3005">
      <w:pPr>
        <w:numPr>
          <w:ilvl w:val="0"/>
          <w:numId w:val="1"/>
        </w:numPr>
        <w:rPr>
          <w:rFonts w:ascii="Verdana" w:eastAsia="Times New Roman" w:hAnsi="Verdana"/>
          <w:sz w:val="18"/>
          <w:szCs w:val="18"/>
        </w:rPr>
      </w:pPr>
      <w:r>
        <w:rPr>
          <w:rFonts w:ascii="Verdana" w:eastAsia="Times New Roman" w:hAnsi="Verdana"/>
          <w:sz w:val="18"/>
          <w:szCs w:val="18"/>
        </w:rPr>
        <w:t>herkennen, ontlokken en verder exploreren van ‘verandertaal’</w:t>
      </w:r>
    </w:p>
    <w:p w:rsidR="00000000" w:rsidRDefault="003C3005" w:rsidP="003C3005">
      <w:pPr>
        <w:numPr>
          <w:ilvl w:val="0"/>
          <w:numId w:val="1"/>
        </w:numPr>
        <w:rPr>
          <w:rFonts w:ascii="Verdana" w:eastAsia="Times New Roman" w:hAnsi="Verdana"/>
          <w:sz w:val="18"/>
          <w:szCs w:val="18"/>
        </w:rPr>
      </w:pPr>
      <w:r>
        <w:rPr>
          <w:rFonts w:ascii="Verdana" w:eastAsia="Times New Roman" w:hAnsi="Verdana"/>
          <w:sz w:val="18"/>
          <w:szCs w:val="18"/>
        </w:rPr>
        <w:t>weerstand herkennen en er effectief mee omgaan</w:t>
      </w:r>
    </w:p>
    <w:p w:rsidR="00000000" w:rsidRDefault="003C3005" w:rsidP="003C3005">
      <w:pPr>
        <w:rPr>
          <w:rFonts w:ascii="Verdana" w:eastAsia="Times New Roman" w:hAnsi="Verdana"/>
          <w:sz w:val="18"/>
          <w:szCs w:val="18"/>
        </w:rPr>
      </w:pPr>
      <w:bookmarkStart w:id="0" w:name="_GoBack"/>
      <w:bookmarkEnd w:id="0"/>
      <w:r>
        <w:rPr>
          <w:rFonts w:ascii="Verdana" w:eastAsia="Times New Roman" w:hAnsi="Verdana"/>
          <w:sz w:val="18"/>
          <w:szCs w:val="18"/>
        </w:rPr>
        <w:br/>
        <w:t>Naast het bespreken van de th</w:t>
      </w:r>
      <w:r>
        <w:rPr>
          <w:rFonts w:ascii="Verdana" w:eastAsia="Times New Roman" w:hAnsi="Verdana"/>
          <w:sz w:val="18"/>
          <w:szCs w:val="18"/>
        </w:rPr>
        <w:t>eorie, wordt de cursus praktisch ingevuld waarbij gebruik wordt gemaakt van een</w:t>
      </w:r>
      <w:r>
        <w:rPr>
          <w:rFonts w:ascii="Verdana" w:eastAsia="Times New Roman" w:hAnsi="Verdana"/>
          <w:sz w:val="18"/>
          <w:szCs w:val="18"/>
        </w:rPr>
        <w:t xml:space="preserve"> </w:t>
      </w:r>
      <w:r>
        <w:rPr>
          <w:rFonts w:ascii="Verdana" w:eastAsia="Times New Roman" w:hAnsi="Verdana"/>
          <w:sz w:val="18"/>
          <w:szCs w:val="18"/>
        </w:rPr>
        <w:t>trainingsacteu</w:t>
      </w:r>
      <w:r>
        <w:rPr>
          <w:rFonts w:ascii="Verdana" w:eastAsia="Times New Roman" w:hAnsi="Verdana"/>
          <w:sz w:val="18"/>
          <w:szCs w:val="18"/>
        </w:rPr>
        <w:t>r</w:t>
      </w:r>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Coen </w:t>
      </w:r>
      <w:proofErr w:type="spellStart"/>
      <w:r>
        <w:rPr>
          <w:rFonts w:ascii="Verdana" w:eastAsia="Times New Roman" w:hAnsi="Verdana"/>
          <w:sz w:val="18"/>
          <w:szCs w:val="18"/>
        </w:rPr>
        <w:t>Metze</w:t>
      </w:r>
      <w:proofErr w:type="spellEnd"/>
      <w:r>
        <w:rPr>
          <w:rFonts w:ascii="Verdana" w:eastAsia="Times New Roman" w:hAnsi="Verdana"/>
          <w:sz w:val="18"/>
          <w:szCs w:val="18"/>
        </w:rPr>
        <w:t xml:space="preserve"> - Werkzaam als zelfstandig </w:t>
      </w:r>
      <w:proofErr w:type="spellStart"/>
      <w:r>
        <w:rPr>
          <w:rFonts w:ascii="Verdana" w:eastAsia="Times New Roman" w:hAnsi="Verdana"/>
          <w:sz w:val="18"/>
          <w:szCs w:val="18"/>
        </w:rPr>
        <w:t>Gz</w:t>
      </w:r>
      <w:proofErr w:type="spellEnd"/>
      <w:r>
        <w:rPr>
          <w:rFonts w:ascii="Verdana" w:eastAsia="Times New Roman" w:hAnsi="Verdana"/>
          <w:sz w:val="18"/>
          <w:szCs w:val="18"/>
        </w:rPr>
        <w:t>-psycholoog en docent/trainer.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w:t>
      </w:r>
      <w:r>
        <w:rPr>
          <w:rFonts w:ascii="Verdana" w:eastAsia="Times New Roman" w:hAnsi="Verdana"/>
          <w:sz w:val="18"/>
          <w:szCs w:val="18"/>
        </w:rPr>
        <w:t>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E9C"/>
    <w:multiLevelType w:val="multilevel"/>
    <w:tmpl w:val="0B4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3005"/>
    <w:rsid w:val="003C3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BA29D"/>
  <w15:chartTrackingRefBased/>
  <w15:docId w15:val="{8A7FF1A9-0202-43A8-AE2E-024E7D0E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243945">
      <w:marLeft w:val="0"/>
      <w:marRight w:val="0"/>
      <w:marTop w:val="0"/>
      <w:marBottom w:val="0"/>
      <w:divBdr>
        <w:top w:val="none" w:sz="0" w:space="0" w:color="auto"/>
        <w:left w:val="none" w:sz="0" w:space="0" w:color="auto"/>
        <w:bottom w:val="none" w:sz="0" w:space="0" w:color="auto"/>
        <w:right w:val="none" w:sz="0" w:space="0" w:color="auto"/>
      </w:divBdr>
      <w:divsChild>
        <w:div w:id="1734233019">
          <w:marLeft w:val="0"/>
          <w:marRight w:val="0"/>
          <w:marTop w:val="0"/>
          <w:marBottom w:val="0"/>
          <w:divBdr>
            <w:top w:val="none" w:sz="0" w:space="0" w:color="auto"/>
            <w:left w:val="none" w:sz="0" w:space="0" w:color="auto"/>
            <w:bottom w:val="none" w:sz="0" w:space="0" w:color="auto"/>
            <w:right w:val="none" w:sz="0" w:space="0" w:color="auto"/>
          </w:divBdr>
          <w:divsChild>
            <w:div w:id="13785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2110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2019-03-21T14:23:00Z</dcterms:created>
  <dcterms:modified xsi:type="dcterms:W3CDTF">2019-03-21T14:23:00Z</dcterms:modified>
</cp:coreProperties>
</file>